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sn8qoiovzh3j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postulante para participar en la invitación Cultural Experiencias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rtísticas en los Distritos Creativos - Agenda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lterna de la Bienal de Arte de Bogotá,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numeral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4.2  de las Condiciones Generales de Participación del Programa Distrital de Estímulos 2025.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5ZugSp7mTkUIetIdPB2QZUM4lQ==">CgMxLjAyDmguc244cW9pb3Z6aDNqMglpZC5namRneHM4AHIhMVlaZy1IT2FkVHd0ZHhLWFZ1UGhFSmtWVmc2bko0Y2lU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2025-08-20T17:04:00Z</dcterms:created>
  <dc:creator>MARTHA REYES CASTILLO Reyes Castillo</dc:creator>
</cp:coreProperties>
</file>