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123.0" w:type="dxa"/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939598" w:space="0" w:sz="4" w:val="single"/>
              <w:left w:color="939598" w:space="0" w:sz="4" w:val="single"/>
              <w:bottom w:color="939598" w:space="0" w:sz="4" w:val="single"/>
              <w:right w:color="939598" w:space="0" w:sz="4" w:val="single"/>
            </w:tcBorders>
          </w:tcPr>
          <w:p w:rsidR="00000000" w:rsidDel="00000000" w:rsidP="00000000" w:rsidRDefault="00000000" w:rsidRPr="00000000" w14:paraId="00000002">
            <w:pPr>
              <w:pStyle w:val="Heading1"/>
              <w:widowControl w:val="0"/>
              <w:spacing w:after="0" w:before="0" w:lineRule="auto"/>
              <w:jc w:val="center"/>
              <w:rPr>
                <w:color w:val="7030a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Formato para la presentación de Iniciativas 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35" w:right="522" w:hanging="107.00000000000003"/>
              <w:jc w:val="center"/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Invitación Cultural Estand de cómic y narrativa gráfica FILBo 2026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35" w:right="522" w:hanging="107.00000000000003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Instituto Distrital de las Artes —Idartes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Para elaborar su iniciativa le recomendamos: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Leer atentamente la invitación cultural y asegurarse de haber resuelto todas sus inquietudes a través de los canales de atención del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área de Convocatorias del Instituto Distrital de las Artes – Idartes</w:t>
      </w:r>
      <w:r w:rsidDel="00000000" w:rsidR="00000000" w:rsidRPr="00000000">
        <w:rPr>
          <w:color w:val="000000"/>
          <w:rtl w:val="0"/>
        </w:rPr>
        <w:t xml:space="preserve"> al correo electrónico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contactenos@idartes.gov.co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Diligenciar este formato en su TOTALIDAD</w:t>
      </w:r>
      <w:r w:rsidDel="00000000" w:rsidR="00000000" w:rsidRPr="00000000">
        <w:rPr>
          <w:color w:val="000000"/>
          <w:rtl w:val="0"/>
        </w:rPr>
        <w:t xml:space="preserve">. De lo contrario, su iniciativa quedará rechazada.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3.0" w:type="dxa"/>
        <w:jc w:val="left"/>
        <w:tblInd w:w="-10.0" w:type="dxa"/>
        <w:tblLayout w:type="fixed"/>
        <w:tblLook w:val="0600"/>
      </w:tblPr>
      <w:tblGrid>
        <w:gridCol w:w="3119"/>
        <w:gridCol w:w="1417"/>
        <w:gridCol w:w="1833"/>
        <w:gridCol w:w="2694"/>
        <w:tblGridChange w:id="0">
          <w:tblGrid>
            <w:gridCol w:w="3119"/>
            <w:gridCol w:w="1417"/>
            <w:gridCol w:w="1833"/>
            <w:gridCol w:w="2694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Selecciones el tipo de inscripción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Persona natural 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Agrupación ____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Persona jurídica 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Nombre de la persona natural, agrupación o persona jurídica.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Nombre de la iniciativa.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Área artística que orienta su iniciativa.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Literatura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¿Comercializará solamente productos editoriales propios?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propios ____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de terceros ____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Propios y de terceros 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2. Perfil y el rol de los(as) artistas o creadores que participarán en la iniciativa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Rol y responsabilidades específicas en la ejecución de la iniciativa de programación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Perfil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i w:val="1"/>
          <w:iCs w:val="1"/>
          <w:color w:val="bfbfbf"/>
        </w:rPr>
      </w:pPr>
      <w:r w:rsidDel="00000000" w:rsidR="00000000" w:rsidRPr="00000000">
        <w:rPr>
          <w:i w:val="1"/>
          <w:iCs w:val="1"/>
          <w:color w:val="bfbfbf"/>
          <w:rtl w:val="0"/>
        </w:rPr>
        <w:t xml:space="preserve">Agregue tantas filas como sea necesario.</w:t>
      </w:r>
    </w:p>
    <w:p w:rsidR="00000000" w:rsidDel="00000000" w:rsidP="00000000" w:rsidRDefault="00000000" w:rsidRPr="00000000" w14:paraId="00000043">
      <w:pPr>
        <w:rPr>
          <w:i w:val="1"/>
          <w:iCs w:val="1"/>
          <w:color w:val="bfbfb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* Recuerde que si resulta ganador(a) de la invitación cultural, solamente se entregarán dos credenciales de participación.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14451.0" w:type="dxa"/>
        <w:jc w:val="left"/>
        <w:tblInd w:w="-10.0" w:type="dxa"/>
        <w:tblLayout w:type="fixed"/>
        <w:tblLook w:val="0600"/>
      </w:tblPr>
      <w:tblGrid>
        <w:gridCol w:w="3119"/>
        <w:gridCol w:w="5944"/>
        <w:gridCol w:w="2694"/>
        <w:gridCol w:w="2694"/>
        <w:tblGridChange w:id="0">
          <w:tblGrid>
            <w:gridCol w:w="3119"/>
            <w:gridCol w:w="5944"/>
            <w:gridCol w:w="2694"/>
            <w:gridCol w:w="269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3. Pertinencia.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i w:val="1"/>
                <w:iCs w:val="1"/>
                <w:color w:val="808080"/>
              </w:rPr>
            </w:pPr>
            <w:bookmarkStart w:colFirst="0" w:colLast="0" w:name="_heading=h.j66043ukaxm7" w:id="1"/>
            <w:bookmarkEnd w:id="1"/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Teniendo en cuenta que la iniciaitiva de los productos o bienes a comercializar en FILBo 2026 debe se exclusivamente editoriales relacionados con el libro, la lectura y/o la literatura, y estar asociada al sector del cómic o la narrativa gráfica, describa brevemente: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1. El tipo de libros, revistas, grapas, fanzines, publicaciones comunitarias, webtoon, entre otros, que exhibirá y comercializará.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2. 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La experiencia como artista, editor, distribuidor o gestor del cómic y la narrativa gráfica de la persona, colectivo, agrupación o persona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jurídica.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3. Por qué estos productos o bienes son pertinentes para ser expuestos y comercializados en el Estand de cómic y narrativa gráfica FILBo 2026. (Máximo 2.000 caracteres con espacios incluidos).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4. Propuesta de producto.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Los productos literarios físicos o digitales deben ser de buena calidad, en términos de materiales y especificaciones gráficas. Agregue aquí fotografías, descripción, características y precios de los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libros, revistas, grapas, fanzines, publicaciones comunitarias, webtoon, entre otros, 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que espera comercializar en el Estand de cómic y narrativa gráfica FILBo 2026.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Es importante tener presente que estos productos editoriales se comercialicen en esta zona deben estar relacionados exclusivamente con publicaciones asociadas al cómic y la narrativa gráfica, tales como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libros, revistas, grapas, fanzines, publicaciones comunitarias, webtoon, entre otros,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 etc. En ningún caso se podrá comercializar opa, accesorios, artículos de merchandising o productos no asociados al campo editorial. 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u w:val="single"/>
                <w:rtl w:val="0"/>
              </w:rPr>
              <w:t xml:space="preserve">Por favor, tenga en cuenta la naturaleza y tamaño del espacio asignado para la exhibición de sus productos, con el fin de que no se exceda en lo que presentará en este apartado.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5. Justificación.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both"/>
              <w:rPr>
                <w:color w:val="00000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Descripción de la motivación para participar en el 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Estand de cómic y narrativa gráfica FILBo 2026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y de cómo esta participación contribuye al fortalecimiento de su iniciativa, emprendimiento o práctica</w:t>
            </w:r>
            <w:r w:rsidDel="00000000" w:rsidR="00000000" w:rsidRPr="00000000">
              <w:rPr>
                <w:i w:val="1"/>
                <w:iCs w:val="1"/>
                <w:color w:val="808080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(Máximo 2.000 caracteres con espacios incluidos).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6. Participación en FILBo 2026.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¿Su iniciativa cuenta con un espacio de exposición en la FILBo 2026?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Marque con una x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 caso de que haya marcado sí, por favor especifique el pabellón y estand donde estará su espacio y lo que comercializará en él.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</w:rPr>
      </w:pPr>
      <w:bookmarkStart w:colFirst="0" w:colLast="0" w:name="_heading=h.wx9nz89gicg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lacedeInternet" w:customStyle="1">
    <w:name w:val="Enlace de Internet"/>
    <w:rPr>
      <w:color w:val="000080"/>
      <w:u w:val="single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1" w:customStyle="1">
    <w:name w:val="LO-normal1"/>
    <w:qFormat w:val="1"/>
    <w:pPr>
      <w:suppressAutoHyphens w:val="1"/>
    </w:pPr>
    <w:rPr>
      <w:lang w:bidi="hi-IN" w:eastAsia="zh-CN"/>
    </w:rPr>
  </w:style>
  <w:style w:type="paragraph" w:styleId="LO-normal" w:customStyle="1">
    <w:name w:val="LO-normal"/>
    <w:qFormat w:val="1"/>
    <w:pPr>
      <w:suppressAutoHyphens w:val="1"/>
    </w:pPr>
    <w:rPr>
      <w:lang w:bidi="hi-IN" w:eastAsia="zh-CN"/>
    </w:r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rFonts w:cs="Mangal"/>
      <w:sz w:val="20"/>
      <w:szCs w:val="18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rFonts w:cs="Mangal"/>
      <w:sz w:val="20"/>
      <w:szCs w:val="18"/>
      <w:lang w:bidi="hi-IN" w:eastAsia="zh-CN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6142"/>
    <w:pPr>
      <w:spacing w:line="240" w:lineRule="auto"/>
    </w:pPr>
    <w:rPr>
      <w:rFonts w:ascii="Segoe UI" w:cs="Mangal" w:hAnsi="Segoe UI"/>
      <w:sz w:val="18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6142"/>
    <w:rPr>
      <w:rFonts w:ascii="Segoe UI" w:cs="Mangal" w:hAnsi="Segoe UI"/>
      <w:sz w:val="18"/>
      <w:szCs w:val="16"/>
      <w:lang w:bidi="hi-IN" w:eastAsia="zh-CN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5B781C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es-CO" w:val="es-CO"/>
    </w:r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6C3BA0"/>
    <w:pPr>
      <w:ind w:left="720"/>
      <w:contextualSpacing w:val="1"/>
    </w:pPr>
    <w:rPr>
      <w:rFonts w:cs="Mangal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enos@idartes.gov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QlCPQIbslIIMBlgJodGXTICGw==">CgMxLjAyCGguZ2pkZ3hzMg5oLmo2NjA0M3VrYXhtNzIJaC4zMGowemxsMg5oLnd4OW56ODlnaWNnMDgAciExRnFndTE3QVByQ21vZXhNSGJjZjRWM05XTHhSYjNRcUU=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2026-02-24T19:29:00Z</dcterms:created>
  <dc:creator>Karen</dc:creator>
</cp:coreProperties>
</file>