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Teusaquillo”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2: Formación en gestión artística y cultural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artes visuales, artes escénicas, patrimonio y/o fonográfico).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Describa la estructura pedagógica de su proceso formativo, señalando los ejes temáticos, recursos metodológicos y modalidad (presencial, virtual, híbrida).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r463dij52vu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</w:t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309216893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63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10. Indique el número de personas beneficiarias que proyecta alcanzar con esta iniciativa.</w:t>
      </w:r>
    </w:p>
    <w:sdt>
      <w:sdtPr>
        <w:lock w:val="contentLocked"/>
        <w:id w:val="-1220911783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8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 Presupuesto</w:t>
      </w:r>
    </w:p>
    <w:p w:rsidR="00000000" w:rsidDel="00000000" w:rsidP="00000000" w:rsidRDefault="00000000" w:rsidRPr="00000000" w14:paraId="0000006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5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B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B2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B3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4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5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-741677</wp:posOffset>
          </wp:positionH>
          <wp:positionV relativeFrom="paragraph">
            <wp:posOffset>-438146</wp:posOffset>
          </wp:positionV>
          <wp:extent cx="7782560" cy="741045"/>
          <wp:effectExtent b="0" l="0" r="0" t="0"/>
          <wp:wrapSquare wrapText="bothSides" distB="0" distT="0" distL="114300" distR="114300"/>
          <wp:docPr id="3327674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ua/HUEqaMKujQptwuKTCbNq+Q==">CgMxLjAaHgoBMBIZChcICVITChF0YWJsZS44ejVoazVzbmtkNRofCgExEhoKGAgJUhQKEnRhYmxlLnJ4ZjBkdHBuMmc0eDIOaC5yNDYzZGlqNTJ2dXM4AHIhMVpZc1JoaG1RMGE3SFZKSnZSNjdxTDQzaTAyV24yWmRj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